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94D" w:rsidRPr="003567FF" w:rsidRDefault="00F26B32" w:rsidP="00C66555">
      <w:pPr>
        <w:pStyle w:val="Title"/>
        <w:tabs>
          <w:tab w:val="left" w:pos="10800"/>
          <w:tab w:val="left" w:pos="11520"/>
        </w:tabs>
        <w:ind w:right="1440"/>
        <w:jc w:val="center"/>
      </w:pPr>
      <w:bookmarkStart w:id="0" w:name="_GoBack"/>
      <w:bookmarkEnd w:id="0"/>
      <w:r w:rsidRPr="003567FF">
        <w:rPr>
          <w:noProof/>
        </w:rPr>
        <w:drawing>
          <wp:inline distT="0" distB="0" distL="0" distR="0">
            <wp:extent cx="7315200" cy="1597152"/>
            <wp:effectExtent l="0" t="0" r="0" b="3175"/>
            <wp:docPr id="1" name="Picture 1" descr="California Department of Education letterhead with official seal. Tony  Thurmond State Superintendent of Public Instruction 1430 N Street, Sacramento, CA 95814-5901, 916-319-0800, www.cde.ca.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E Letterhead_Thurmond-2.jpg"/>
                    <pic:cNvPicPr/>
                  </pic:nvPicPr>
                  <pic:blipFill>
                    <a:blip r:embed="rId8">
                      <a:extLst>
                        <a:ext uri="{28A0092B-C50C-407E-A947-70E740481C1C}">
                          <a14:useLocalDpi xmlns:a14="http://schemas.microsoft.com/office/drawing/2010/main" val="0"/>
                        </a:ext>
                      </a:extLst>
                    </a:blip>
                    <a:stretch>
                      <a:fillRect/>
                    </a:stretch>
                  </pic:blipFill>
                  <pic:spPr>
                    <a:xfrm>
                      <a:off x="0" y="0"/>
                      <a:ext cx="7315200" cy="1597152"/>
                    </a:xfrm>
                    <a:prstGeom prst="rect">
                      <a:avLst/>
                    </a:prstGeom>
                  </pic:spPr>
                </pic:pic>
              </a:graphicData>
            </a:graphic>
          </wp:inline>
        </w:drawing>
      </w:r>
    </w:p>
    <w:p w:rsidR="00C66555" w:rsidRPr="003567FF" w:rsidRDefault="003665D6" w:rsidP="003567FF">
      <w:pPr>
        <w:spacing w:after="720"/>
        <w:jc w:val="center"/>
      </w:pPr>
      <w:r>
        <w:t>February 14</w:t>
      </w:r>
      <w:r w:rsidR="00C66555" w:rsidRPr="003567FF">
        <w:t>, 2020</w:t>
      </w:r>
    </w:p>
    <w:p w:rsidR="00C66555" w:rsidRPr="003567FF" w:rsidRDefault="00C66555" w:rsidP="001E2449">
      <w:pPr>
        <w:tabs>
          <w:tab w:val="left" w:pos="10800"/>
          <w:tab w:val="left" w:pos="11520"/>
        </w:tabs>
        <w:spacing w:after="360" w:line="240" w:lineRule="auto"/>
        <w:rPr>
          <w:color w:val="221E1F"/>
        </w:rPr>
      </w:pPr>
      <w:r w:rsidRPr="003567FF">
        <w:rPr>
          <w:color w:val="221E1F"/>
        </w:rPr>
        <w:t>Dear Homeless Liaisons:</w:t>
      </w:r>
    </w:p>
    <w:p w:rsidR="00C66555" w:rsidRPr="001E2449" w:rsidRDefault="00C66555" w:rsidP="001E2449">
      <w:pPr>
        <w:pStyle w:val="Heading1"/>
        <w:spacing w:before="0" w:after="360"/>
      </w:pPr>
      <w:bookmarkStart w:id="1" w:name="_Hlk31191734"/>
      <w:r w:rsidRPr="003567FF">
        <w:t>T</w:t>
      </w:r>
      <w:r w:rsidR="001E2449">
        <w:t>itle</w:t>
      </w:r>
      <w:r w:rsidRPr="003567FF">
        <w:t xml:space="preserve"> I, P</w:t>
      </w:r>
      <w:r w:rsidR="001E2449">
        <w:t>art</w:t>
      </w:r>
      <w:r w:rsidRPr="003567FF">
        <w:t xml:space="preserve"> A R</w:t>
      </w:r>
      <w:r w:rsidR="001E2449">
        <w:t>eservation</w:t>
      </w:r>
      <w:r w:rsidRPr="003567FF">
        <w:t xml:space="preserve"> F</w:t>
      </w:r>
      <w:r w:rsidR="001E2449">
        <w:t>unds</w:t>
      </w:r>
      <w:r w:rsidRPr="003567FF">
        <w:t xml:space="preserve"> </w:t>
      </w:r>
      <w:r w:rsidR="001E2449">
        <w:t>for</w:t>
      </w:r>
      <w:r w:rsidRPr="003567FF">
        <w:t xml:space="preserve"> H</w:t>
      </w:r>
      <w:r w:rsidR="001E2449">
        <w:t>omeless</w:t>
      </w:r>
      <w:r w:rsidRPr="003567FF">
        <w:t xml:space="preserve"> E</w:t>
      </w:r>
      <w:r w:rsidR="001E2449">
        <w:t>ducation</w:t>
      </w:r>
      <w:bookmarkEnd w:id="1"/>
    </w:p>
    <w:p w:rsidR="005223CD" w:rsidRPr="005223CD" w:rsidRDefault="005223CD" w:rsidP="005223CD">
      <w:pPr>
        <w:tabs>
          <w:tab w:val="left" w:pos="10800"/>
          <w:tab w:val="left" w:pos="11520"/>
        </w:tabs>
        <w:spacing w:after="240" w:line="240" w:lineRule="auto"/>
        <w:rPr>
          <w:color w:val="000000"/>
        </w:rPr>
      </w:pPr>
      <w:r w:rsidRPr="005223CD">
        <w:rPr>
          <w:color w:val="000000"/>
        </w:rPr>
        <w:t xml:space="preserve">As your </w:t>
      </w:r>
      <w:r w:rsidRPr="005223CD">
        <w:t>local educational agency (LEA)</w:t>
      </w:r>
      <w:r w:rsidR="00303977">
        <w:t xml:space="preserve"> </w:t>
      </w:r>
      <w:r w:rsidR="00303977">
        <w:rPr>
          <w:color w:val="000000"/>
        </w:rPr>
        <w:t>indicates</w:t>
      </w:r>
      <w:r w:rsidRPr="005223CD">
        <w:rPr>
          <w:color w:val="000000"/>
        </w:rPr>
        <w:t xml:space="preserve"> their designated reservation amount in C</w:t>
      </w:r>
      <w:r w:rsidR="00303977">
        <w:rPr>
          <w:color w:val="000000"/>
        </w:rPr>
        <w:t>onsolidated Application and Reporting System (C</w:t>
      </w:r>
      <w:r w:rsidRPr="005223CD">
        <w:rPr>
          <w:color w:val="000000"/>
        </w:rPr>
        <w:t>ARS</w:t>
      </w:r>
      <w:r w:rsidR="00303977">
        <w:rPr>
          <w:color w:val="000000"/>
        </w:rPr>
        <w:t>)</w:t>
      </w:r>
      <w:r w:rsidRPr="005223CD">
        <w:rPr>
          <w:color w:val="000000"/>
        </w:rPr>
        <w:t xml:space="preserve"> on the 2019</w:t>
      </w:r>
      <w:r w:rsidR="00303977" w:rsidRPr="003567FF">
        <w:rPr>
          <w:color w:val="000000"/>
        </w:rPr>
        <w:t>–</w:t>
      </w:r>
      <w:r w:rsidR="004A1C44">
        <w:rPr>
          <w:color w:val="000000"/>
        </w:rPr>
        <w:t>20</w:t>
      </w:r>
      <w:r w:rsidRPr="005223CD">
        <w:rPr>
          <w:color w:val="000000"/>
        </w:rPr>
        <w:t>20 Winter LEA Allocation and Reservations Data Collection (due February 28, 2020), the California Department of Education</w:t>
      </w:r>
      <w:r w:rsidR="00303977">
        <w:rPr>
          <w:color w:val="000000"/>
        </w:rPr>
        <w:t xml:space="preserve">’s (CDE) </w:t>
      </w:r>
      <w:r w:rsidRPr="005223CD">
        <w:rPr>
          <w:color w:val="000000"/>
        </w:rPr>
        <w:t xml:space="preserve">Homeless Education Program is </w:t>
      </w:r>
      <w:r w:rsidRPr="005223CD">
        <w:t>providing the following information as</w:t>
      </w:r>
      <w:r w:rsidRPr="005223CD">
        <w:rPr>
          <w:rFonts w:eastAsia="Times New Roman"/>
        </w:rPr>
        <w:t xml:space="preserve"> technical assistance to you and your staff. The letter below outlines how to </w:t>
      </w:r>
      <w:r w:rsidRPr="005223CD">
        <w:rPr>
          <w:color w:val="000000"/>
        </w:rPr>
        <w:t>determine an amount for the homeless education reservation, as well as the allowable uses of these reservation funds to ensure the reserved funds are spent and used to provide services for students experiencing homelessness.</w:t>
      </w:r>
    </w:p>
    <w:p w:rsidR="00C66555" w:rsidRPr="003567FF" w:rsidRDefault="00C66555" w:rsidP="001E2449">
      <w:pPr>
        <w:tabs>
          <w:tab w:val="left" w:pos="10800"/>
          <w:tab w:val="left" w:pos="11520"/>
        </w:tabs>
        <w:spacing w:after="240" w:line="240" w:lineRule="auto"/>
        <w:rPr>
          <w:bCs/>
          <w:color w:val="000000"/>
        </w:rPr>
      </w:pPr>
      <w:r w:rsidRPr="003567FF">
        <w:rPr>
          <w:bCs/>
          <w:color w:val="000000"/>
        </w:rPr>
        <w:t>An LEA can determine the appropriate amount of Title I, Part A funds to reserve</w:t>
      </w:r>
      <w:r w:rsidR="00B15C86" w:rsidRPr="003567FF">
        <w:rPr>
          <w:bCs/>
          <w:color w:val="000000"/>
        </w:rPr>
        <w:t xml:space="preserve"> for homeless education</w:t>
      </w:r>
      <w:r w:rsidRPr="003567FF">
        <w:rPr>
          <w:bCs/>
          <w:color w:val="000000"/>
        </w:rPr>
        <w:t xml:space="preserve"> in a variety of ways, such as:</w:t>
      </w:r>
    </w:p>
    <w:p w:rsidR="00C66555" w:rsidRPr="003567FF" w:rsidRDefault="00C66555" w:rsidP="001E2449">
      <w:pPr>
        <w:numPr>
          <w:ilvl w:val="0"/>
          <w:numId w:val="3"/>
        </w:numPr>
        <w:tabs>
          <w:tab w:val="left" w:pos="10800"/>
          <w:tab w:val="left" w:pos="11520"/>
        </w:tabs>
        <w:spacing w:after="240" w:line="240" w:lineRule="auto"/>
        <w:ind w:left="2160"/>
        <w:rPr>
          <w:bCs/>
          <w:color w:val="000000"/>
        </w:rPr>
      </w:pPr>
      <w:r w:rsidRPr="003567FF">
        <w:rPr>
          <w:bCs/>
          <w:color w:val="000000"/>
        </w:rPr>
        <w:t>Collaborate with the homeless liaison to identify homeless students’ needs and reserve accordingly.</w:t>
      </w:r>
    </w:p>
    <w:p w:rsidR="00C66555" w:rsidRPr="003567FF" w:rsidRDefault="00C66555" w:rsidP="001E2449">
      <w:pPr>
        <w:numPr>
          <w:ilvl w:val="0"/>
          <w:numId w:val="3"/>
        </w:numPr>
        <w:tabs>
          <w:tab w:val="left" w:pos="10800"/>
          <w:tab w:val="left" w:pos="11520"/>
        </w:tabs>
        <w:spacing w:after="240" w:line="240" w:lineRule="auto"/>
        <w:ind w:left="2160"/>
        <w:rPr>
          <w:bCs/>
          <w:color w:val="000000"/>
        </w:rPr>
      </w:pPr>
      <w:r w:rsidRPr="003567FF">
        <w:rPr>
          <w:bCs/>
          <w:color w:val="000000"/>
        </w:rPr>
        <w:t>Obtain the LEA’s count of homeless students and multiply that count by the Title I, Part A per-pupil allocation.</w:t>
      </w:r>
    </w:p>
    <w:p w:rsidR="00C66555" w:rsidRPr="003567FF" w:rsidRDefault="00C66555" w:rsidP="001E2449">
      <w:pPr>
        <w:numPr>
          <w:ilvl w:val="0"/>
          <w:numId w:val="3"/>
        </w:numPr>
        <w:tabs>
          <w:tab w:val="left" w:pos="10800"/>
          <w:tab w:val="left" w:pos="11520"/>
        </w:tabs>
        <w:spacing w:after="240" w:line="240" w:lineRule="auto"/>
        <w:ind w:left="2160"/>
        <w:rPr>
          <w:bCs/>
          <w:color w:val="000000"/>
        </w:rPr>
      </w:pPr>
      <w:r w:rsidRPr="003567FF">
        <w:rPr>
          <w:bCs/>
          <w:color w:val="000000"/>
        </w:rPr>
        <w:t>Reserve a specific percentage based on your LEA’s poverty level or total Title I, Part A allocation.</w:t>
      </w:r>
    </w:p>
    <w:p w:rsidR="00C66555" w:rsidRPr="003567FF" w:rsidRDefault="00C66555" w:rsidP="001E2449">
      <w:pPr>
        <w:tabs>
          <w:tab w:val="left" w:pos="10800"/>
          <w:tab w:val="left" w:pos="11520"/>
        </w:tabs>
        <w:spacing w:after="240" w:line="240" w:lineRule="auto"/>
        <w:rPr>
          <w:color w:val="000000"/>
        </w:rPr>
      </w:pPr>
      <w:r w:rsidRPr="003567FF">
        <w:rPr>
          <w:color w:val="000000"/>
        </w:rPr>
        <w:t>Once those funds have been determined, the LEA can spend those funds as follows:</w:t>
      </w:r>
    </w:p>
    <w:p w:rsidR="00C66555" w:rsidRPr="003567FF" w:rsidRDefault="00C66555" w:rsidP="001E2449">
      <w:pPr>
        <w:numPr>
          <w:ilvl w:val="0"/>
          <w:numId w:val="2"/>
        </w:numPr>
        <w:tabs>
          <w:tab w:val="clear" w:pos="720"/>
          <w:tab w:val="num" w:pos="990"/>
          <w:tab w:val="left" w:pos="10800"/>
          <w:tab w:val="left" w:pos="11520"/>
        </w:tabs>
        <w:spacing w:after="240" w:line="240" w:lineRule="auto"/>
        <w:ind w:left="2160"/>
        <w:rPr>
          <w:color w:val="000000"/>
        </w:rPr>
      </w:pPr>
      <w:r w:rsidRPr="003567FF">
        <w:rPr>
          <w:color w:val="000000"/>
        </w:rPr>
        <w:t>Transport homeless students to and from school of origin, and after-school programs.</w:t>
      </w:r>
    </w:p>
    <w:p w:rsidR="00C66555" w:rsidRPr="003567FF" w:rsidRDefault="00C66555" w:rsidP="001E2449">
      <w:pPr>
        <w:numPr>
          <w:ilvl w:val="0"/>
          <w:numId w:val="2"/>
        </w:numPr>
        <w:tabs>
          <w:tab w:val="clear" w:pos="720"/>
          <w:tab w:val="num" w:pos="990"/>
          <w:tab w:val="left" w:pos="10800"/>
          <w:tab w:val="left" w:pos="11520"/>
        </w:tabs>
        <w:spacing w:after="240" w:line="240" w:lineRule="auto"/>
        <w:ind w:left="2160"/>
        <w:rPr>
          <w:color w:val="000000"/>
        </w:rPr>
      </w:pPr>
      <w:r w:rsidRPr="003567FF">
        <w:rPr>
          <w:color w:val="000000"/>
        </w:rPr>
        <w:t>Fund the homeless liaison position.</w:t>
      </w:r>
    </w:p>
    <w:p w:rsidR="00C66555" w:rsidRPr="003567FF" w:rsidRDefault="00C66555" w:rsidP="001E2449">
      <w:pPr>
        <w:numPr>
          <w:ilvl w:val="0"/>
          <w:numId w:val="2"/>
        </w:numPr>
        <w:tabs>
          <w:tab w:val="clear" w:pos="720"/>
          <w:tab w:val="num" w:pos="990"/>
          <w:tab w:val="left" w:pos="10800"/>
          <w:tab w:val="left" w:pos="11520"/>
        </w:tabs>
        <w:spacing w:after="240" w:line="240" w:lineRule="auto"/>
        <w:ind w:left="2160"/>
        <w:rPr>
          <w:color w:val="000000"/>
        </w:rPr>
      </w:pPr>
      <w:r w:rsidRPr="003567FF">
        <w:rPr>
          <w:color w:val="000000"/>
        </w:rPr>
        <w:t>Provide activities other than direct instruction, provided that the activity promotes student achievement.</w:t>
      </w:r>
    </w:p>
    <w:p w:rsidR="00C66555" w:rsidRPr="003567FF" w:rsidRDefault="00C66555" w:rsidP="001E2449">
      <w:pPr>
        <w:numPr>
          <w:ilvl w:val="0"/>
          <w:numId w:val="2"/>
        </w:numPr>
        <w:tabs>
          <w:tab w:val="clear" w:pos="720"/>
          <w:tab w:val="num" w:pos="990"/>
          <w:tab w:val="left" w:pos="10800"/>
          <w:tab w:val="left" w:pos="11520"/>
        </w:tabs>
        <w:spacing w:after="240" w:line="240" w:lineRule="auto"/>
        <w:ind w:left="2160"/>
        <w:rPr>
          <w:color w:val="000000"/>
          <w:u w:val="single"/>
        </w:rPr>
      </w:pPr>
      <w:r w:rsidRPr="003567FF">
        <w:rPr>
          <w:color w:val="000000"/>
        </w:rPr>
        <w:t>Provide academic support as well as non-academic support to homeless students in non-Title I, Part A schools.</w:t>
      </w:r>
    </w:p>
    <w:p w:rsidR="00C66555" w:rsidRPr="003567FF" w:rsidRDefault="00C66555" w:rsidP="001E2449">
      <w:pPr>
        <w:numPr>
          <w:ilvl w:val="0"/>
          <w:numId w:val="2"/>
        </w:numPr>
        <w:tabs>
          <w:tab w:val="clear" w:pos="720"/>
          <w:tab w:val="num" w:pos="990"/>
          <w:tab w:val="left" w:pos="10800"/>
          <w:tab w:val="left" w:pos="11520"/>
        </w:tabs>
        <w:spacing w:after="240" w:line="240" w:lineRule="auto"/>
        <w:ind w:left="2160"/>
        <w:rPr>
          <w:color w:val="000000"/>
        </w:rPr>
      </w:pPr>
      <w:r w:rsidRPr="003567FF">
        <w:rPr>
          <w:color w:val="000000"/>
        </w:rPr>
        <w:lastRenderedPageBreak/>
        <w:t>Meet basic needs (clothing, supplies, health, etc.) of homeless students so that they can participate in school.</w:t>
      </w:r>
    </w:p>
    <w:p w:rsidR="00C66555" w:rsidRPr="003567FF" w:rsidRDefault="00C66555" w:rsidP="001E2449">
      <w:pPr>
        <w:numPr>
          <w:ilvl w:val="0"/>
          <w:numId w:val="2"/>
        </w:numPr>
        <w:tabs>
          <w:tab w:val="clear" w:pos="720"/>
          <w:tab w:val="num" w:pos="990"/>
          <w:tab w:val="left" w:pos="10800"/>
          <w:tab w:val="left" w:pos="11520"/>
        </w:tabs>
        <w:spacing w:after="240" w:line="240" w:lineRule="auto"/>
        <w:ind w:left="2160"/>
        <w:rPr>
          <w:color w:val="000000"/>
        </w:rPr>
      </w:pPr>
      <w:r w:rsidRPr="003567FF">
        <w:rPr>
          <w:color w:val="000000"/>
        </w:rPr>
        <w:t>Hire special teachers, aides, and tutors to provide supplemental instruction.</w:t>
      </w:r>
    </w:p>
    <w:p w:rsidR="00C66555" w:rsidRPr="003567FF" w:rsidRDefault="00C66555" w:rsidP="001E2449">
      <w:pPr>
        <w:numPr>
          <w:ilvl w:val="0"/>
          <w:numId w:val="2"/>
        </w:numPr>
        <w:tabs>
          <w:tab w:val="clear" w:pos="720"/>
          <w:tab w:val="num" w:pos="990"/>
          <w:tab w:val="left" w:pos="10800"/>
          <w:tab w:val="left" w:pos="11520"/>
        </w:tabs>
        <w:spacing w:after="240" w:line="240" w:lineRule="auto"/>
        <w:ind w:left="2160"/>
        <w:rPr>
          <w:color w:val="000000"/>
        </w:rPr>
      </w:pPr>
      <w:r w:rsidRPr="003567FF">
        <w:rPr>
          <w:color w:val="000000"/>
        </w:rPr>
        <w:t>Reach out to parents in homeless situations.</w:t>
      </w:r>
    </w:p>
    <w:p w:rsidR="00C66555" w:rsidRPr="003567FF" w:rsidRDefault="00C66555" w:rsidP="001E2449">
      <w:pPr>
        <w:numPr>
          <w:ilvl w:val="0"/>
          <w:numId w:val="2"/>
        </w:numPr>
        <w:tabs>
          <w:tab w:val="clear" w:pos="720"/>
          <w:tab w:val="num" w:pos="990"/>
          <w:tab w:val="left" w:pos="10800"/>
          <w:tab w:val="left" w:pos="11520"/>
        </w:tabs>
        <w:spacing w:after="240" w:line="240" w:lineRule="auto"/>
        <w:ind w:left="2160"/>
        <w:rPr>
          <w:color w:val="000000"/>
        </w:rPr>
      </w:pPr>
      <w:r w:rsidRPr="003567FF">
        <w:rPr>
          <w:color w:val="000000"/>
        </w:rPr>
        <w:t>Provide after-school and/or summer programs.</w:t>
      </w:r>
    </w:p>
    <w:p w:rsidR="00C66555" w:rsidRPr="003567FF" w:rsidRDefault="00C66555" w:rsidP="001E2449">
      <w:pPr>
        <w:numPr>
          <w:ilvl w:val="0"/>
          <w:numId w:val="2"/>
        </w:numPr>
        <w:tabs>
          <w:tab w:val="clear" w:pos="720"/>
          <w:tab w:val="num" w:pos="990"/>
          <w:tab w:val="left" w:pos="10800"/>
          <w:tab w:val="left" w:pos="11520"/>
        </w:tabs>
        <w:spacing w:after="240" w:line="240" w:lineRule="auto"/>
        <w:ind w:left="2160"/>
        <w:rPr>
          <w:color w:val="000000"/>
        </w:rPr>
      </w:pPr>
      <w:r w:rsidRPr="003567FF">
        <w:rPr>
          <w:color w:val="000000"/>
        </w:rPr>
        <w:t>Collect data on homeless students.</w:t>
      </w:r>
    </w:p>
    <w:p w:rsidR="00C66555" w:rsidRPr="003567FF" w:rsidRDefault="00C66555" w:rsidP="001E2449">
      <w:pPr>
        <w:numPr>
          <w:ilvl w:val="0"/>
          <w:numId w:val="2"/>
        </w:numPr>
        <w:tabs>
          <w:tab w:val="clear" w:pos="720"/>
          <w:tab w:val="num" w:pos="990"/>
          <w:tab w:val="left" w:pos="10800"/>
          <w:tab w:val="left" w:pos="11520"/>
        </w:tabs>
        <w:spacing w:after="240" w:line="240" w:lineRule="auto"/>
        <w:ind w:left="2160"/>
        <w:rPr>
          <w:color w:val="000000"/>
        </w:rPr>
      </w:pPr>
      <w:r w:rsidRPr="003567FF">
        <w:rPr>
          <w:color w:val="000000"/>
        </w:rPr>
        <w:t>Provide emergency food while the student is in school, including breakfast, lunch, and snacks.</w:t>
      </w:r>
    </w:p>
    <w:p w:rsidR="00C66555" w:rsidRPr="003567FF" w:rsidRDefault="00C66555" w:rsidP="001E2449">
      <w:pPr>
        <w:numPr>
          <w:ilvl w:val="0"/>
          <w:numId w:val="2"/>
        </w:numPr>
        <w:tabs>
          <w:tab w:val="clear" w:pos="720"/>
          <w:tab w:val="num" w:pos="990"/>
          <w:tab w:val="left" w:pos="10800"/>
          <w:tab w:val="left" w:pos="11520"/>
        </w:tabs>
        <w:spacing w:after="240" w:line="240" w:lineRule="auto"/>
        <w:ind w:left="2160"/>
        <w:rPr>
          <w:color w:val="000000"/>
        </w:rPr>
      </w:pPr>
      <w:r w:rsidRPr="003567FF">
        <w:rPr>
          <w:color w:val="000000"/>
        </w:rPr>
        <w:t>Defray medical and dental expenses.</w:t>
      </w:r>
    </w:p>
    <w:p w:rsidR="00C66555" w:rsidRPr="003567FF" w:rsidRDefault="00C66555" w:rsidP="001E2449">
      <w:pPr>
        <w:numPr>
          <w:ilvl w:val="0"/>
          <w:numId w:val="2"/>
        </w:numPr>
        <w:tabs>
          <w:tab w:val="clear" w:pos="720"/>
          <w:tab w:val="num" w:pos="990"/>
          <w:tab w:val="left" w:pos="10800"/>
          <w:tab w:val="left" w:pos="11520"/>
        </w:tabs>
        <w:spacing w:after="240" w:line="240" w:lineRule="auto"/>
        <w:ind w:left="2160"/>
        <w:rPr>
          <w:color w:val="000000"/>
        </w:rPr>
      </w:pPr>
      <w:r w:rsidRPr="003567FF">
        <w:rPr>
          <w:color w:val="000000"/>
        </w:rPr>
        <w:t>Pay fees associated with obtaining birth certificates and obtaining immunizations.</w:t>
      </w:r>
    </w:p>
    <w:p w:rsidR="00C66555" w:rsidRPr="003567FF" w:rsidRDefault="00C66555" w:rsidP="001E2449">
      <w:pPr>
        <w:numPr>
          <w:ilvl w:val="0"/>
          <w:numId w:val="2"/>
        </w:numPr>
        <w:tabs>
          <w:tab w:val="clear" w:pos="720"/>
          <w:tab w:val="num" w:pos="990"/>
          <w:tab w:val="left" w:pos="10800"/>
          <w:tab w:val="left" w:pos="11520"/>
        </w:tabs>
        <w:spacing w:after="240" w:line="240" w:lineRule="auto"/>
        <w:ind w:left="2160"/>
        <w:rPr>
          <w:color w:val="000000"/>
        </w:rPr>
      </w:pPr>
      <w:r w:rsidRPr="003567FF">
        <w:rPr>
          <w:color w:val="000000"/>
        </w:rPr>
        <w:t xml:space="preserve">Pay the cost of </w:t>
      </w:r>
      <w:r w:rsidRPr="003567FF">
        <w:rPr>
          <w:bCs/>
          <w:color w:val="000000"/>
        </w:rPr>
        <w:t>high school equivalency tests</w:t>
      </w:r>
      <w:r w:rsidRPr="003567FF">
        <w:rPr>
          <w:b/>
          <w:bCs/>
          <w:color w:val="000000"/>
        </w:rPr>
        <w:t xml:space="preserve"> </w:t>
      </w:r>
      <w:r w:rsidRPr="003567FF">
        <w:rPr>
          <w:color w:val="000000"/>
        </w:rPr>
        <w:t>for homeless students.</w:t>
      </w:r>
    </w:p>
    <w:p w:rsidR="00C66555" w:rsidRPr="003567FF" w:rsidRDefault="00C66555" w:rsidP="001E2449">
      <w:pPr>
        <w:numPr>
          <w:ilvl w:val="0"/>
          <w:numId w:val="2"/>
        </w:numPr>
        <w:tabs>
          <w:tab w:val="clear" w:pos="720"/>
          <w:tab w:val="num" w:pos="990"/>
          <w:tab w:val="left" w:pos="10800"/>
          <w:tab w:val="left" w:pos="11520"/>
        </w:tabs>
        <w:spacing w:after="240" w:line="240" w:lineRule="auto"/>
        <w:ind w:left="2160"/>
        <w:rPr>
          <w:color w:val="000000"/>
          <w:u w:val="single"/>
        </w:rPr>
      </w:pPr>
      <w:r w:rsidRPr="003567FF">
        <w:rPr>
          <w:color w:val="000000"/>
        </w:rPr>
        <w:t>Provide the cost of cap and gown to wear at graduation.</w:t>
      </w:r>
    </w:p>
    <w:p w:rsidR="00C66555" w:rsidRPr="003567FF" w:rsidRDefault="00C66555" w:rsidP="001E2449">
      <w:pPr>
        <w:numPr>
          <w:ilvl w:val="0"/>
          <w:numId w:val="2"/>
        </w:numPr>
        <w:tabs>
          <w:tab w:val="clear" w:pos="720"/>
          <w:tab w:val="num" w:pos="990"/>
          <w:tab w:val="left" w:pos="10800"/>
          <w:tab w:val="left" w:pos="11520"/>
        </w:tabs>
        <w:spacing w:after="240" w:line="240" w:lineRule="auto"/>
        <w:ind w:left="2160"/>
        <w:rPr>
          <w:color w:val="000000"/>
          <w:u w:val="single"/>
        </w:rPr>
      </w:pPr>
      <w:r w:rsidRPr="003567FF">
        <w:rPr>
          <w:color w:val="000000"/>
        </w:rPr>
        <w:t>Pay for school projects and/or field trips.</w:t>
      </w:r>
    </w:p>
    <w:p w:rsidR="00C66555" w:rsidRPr="003567FF" w:rsidRDefault="00C66555" w:rsidP="001E2449">
      <w:pPr>
        <w:tabs>
          <w:tab w:val="left" w:pos="10800"/>
          <w:tab w:val="left" w:pos="11520"/>
        </w:tabs>
        <w:autoSpaceDE w:val="0"/>
        <w:autoSpaceDN w:val="0"/>
        <w:adjustRightInd w:val="0"/>
        <w:spacing w:after="240" w:line="240" w:lineRule="auto"/>
        <w:rPr>
          <w:color w:val="000000"/>
        </w:rPr>
      </w:pPr>
      <w:r w:rsidRPr="003567FF">
        <w:rPr>
          <w:color w:val="000000"/>
        </w:rPr>
        <w:t>Title I, Part A is designed to meet the educational needs of low-achieving children in schools with the highest levels of poverty by aligning high-quality assessments, accountability systems, teacher preparation, curriculum, and instructional materials with challenging state academic standards. Homeless children and youth are automatically eligible for Title I educational services.</w:t>
      </w:r>
    </w:p>
    <w:p w:rsidR="00C66555" w:rsidRPr="001E2449" w:rsidRDefault="00C66555" w:rsidP="00333A12">
      <w:pPr>
        <w:tabs>
          <w:tab w:val="left" w:pos="10800"/>
          <w:tab w:val="left" w:pos="11520"/>
        </w:tabs>
        <w:autoSpaceDE w:val="0"/>
        <w:autoSpaceDN w:val="0"/>
        <w:adjustRightInd w:val="0"/>
        <w:spacing w:after="240" w:line="240" w:lineRule="auto"/>
        <w:rPr>
          <w:bCs/>
          <w:color w:val="000000"/>
        </w:rPr>
      </w:pPr>
      <w:r w:rsidRPr="003567FF">
        <w:rPr>
          <w:color w:val="000000"/>
        </w:rPr>
        <w:t xml:space="preserve">Similarly, the McKinney-Vento Homeless Education Assistance Act (Title 42 </w:t>
      </w:r>
      <w:r w:rsidRPr="001E2449">
        <w:rPr>
          <w:color w:val="000000"/>
        </w:rPr>
        <w:t>United States</w:t>
      </w:r>
      <w:r w:rsidRPr="003567FF">
        <w:rPr>
          <w:i/>
          <w:color w:val="000000"/>
        </w:rPr>
        <w:t xml:space="preserve"> </w:t>
      </w:r>
      <w:r w:rsidRPr="001E2449">
        <w:rPr>
          <w:color w:val="000000"/>
        </w:rPr>
        <w:t>Code</w:t>
      </w:r>
      <w:r w:rsidRPr="003567FF">
        <w:rPr>
          <w:color w:val="000000"/>
        </w:rPr>
        <w:t xml:space="preserve"> Section 11431) ensures that homeless students have access to the same free, appropriate public education and related services as their permanently-housed peers in order for homeless students to have an equal opportunity to meet the same challenging academic standards.</w:t>
      </w:r>
    </w:p>
    <w:p w:rsidR="00C66555" w:rsidRPr="00333A12" w:rsidRDefault="00C66555" w:rsidP="00333A12">
      <w:pPr>
        <w:tabs>
          <w:tab w:val="left" w:pos="10800"/>
          <w:tab w:val="left" w:pos="11520"/>
        </w:tabs>
        <w:spacing w:after="240" w:line="240" w:lineRule="auto"/>
      </w:pPr>
      <w:r w:rsidRPr="003567FF">
        <w:rPr>
          <w:bCs/>
        </w:rPr>
        <w:t xml:space="preserve">The Every Student Succeeds Act (ESSA) Section 1113(c)(3) states that an “LEA shall reserve such funds as are necessary” to provide services to homeless children and that these services must be comparable to the services the district provides to children in Title I, Part A schools. These services can be direct, as well as indirect services to and for the homeless student. These funds shall be determined based on the total allocation </w:t>
      </w:r>
      <w:r w:rsidRPr="003567FF">
        <w:t>received by the LEA and prior to any allowable expenditure or transfers by the LEA. Furthermore, the amount of funds may be determined based on a needs assessment of homeless children and youths in the LEA, taking into consideration the number and needs of homeless children and youths in the LEA, and used to provide homeless children and youths with services not ordinarily provided to other students under this part.</w:t>
      </w:r>
    </w:p>
    <w:p w:rsidR="00C66555" w:rsidRPr="003567FF" w:rsidRDefault="00C66555" w:rsidP="00333A12">
      <w:pPr>
        <w:tabs>
          <w:tab w:val="left" w:pos="10800"/>
          <w:tab w:val="left" w:pos="11520"/>
        </w:tabs>
        <w:spacing w:after="240" w:line="240" w:lineRule="auto"/>
        <w:rPr>
          <w:bCs/>
        </w:rPr>
      </w:pPr>
      <w:r w:rsidRPr="003567FF">
        <w:rPr>
          <w:bCs/>
        </w:rPr>
        <w:lastRenderedPageBreak/>
        <w:t>Homeless students within an LEA will attend one of the following:</w:t>
      </w:r>
    </w:p>
    <w:p w:rsidR="00C66555" w:rsidRPr="003567FF" w:rsidRDefault="00C66555" w:rsidP="00C66555">
      <w:pPr>
        <w:numPr>
          <w:ilvl w:val="0"/>
          <w:numId w:val="4"/>
        </w:numPr>
        <w:tabs>
          <w:tab w:val="left" w:pos="10800"/>
          <w:tab w:val="left" w:pos="11520"/>
        </w:tabs>
        <w:spacing w:after="0" w:line="240" w:lineRule="auto"/>
        <w:ind w:left="2160"/>
        <w:rPr>
          <w:bCs/>
        </w:rPr>
      </w:pPr>
      <w:r w:rsidRPr="003567FF">
        <w:rPr>
          <w:bCs/>
        </w:rPr>
        <w:t>Title I, Part A schools with schoolwide programs</w:t>
      </w:r>
    </w:p>
    <w:p w:rsidR="00C66555" w:rsidRPr="003567FF" w:rsidRDefault="00C66555" w:rsidP="00C66555">
      <w:pPr>
        <w:numPr>
          <w:ilvl w:val="0"/>
          <w:numId w:val="4"/>
        </w:numPr>
        <w:tabs>
          <w:tab w:val="left" w:pos="10800"/>
          <w:tab w:val="left" w:pos="11520"/>
        </w:tabs>
        <w:spacing w:after="0" w:line="240" w:lineRule="auto"/>
        <w:ind w:left="2160"/>
        <w:rPr>
          <w:bCs/>
        </w:rPr>
      </w:pPr>
      <w:r w:rsidRPr="003567FF">
        <w:rPr>
          <w:bCs/>
        </w:rPr>
        <w:t>Title I, Part A schools with targeted assistance programs</w:t>
      </w:r>
    </w:p>
    <w:p w:rsidR="00C66555" w:rsidRPr="003567FF" w:rsidRDefault="00C66555" w:rsidP="00333A12">
      <w:pPr>
        <w:numPr>
          <w:ilvl w:val="0"/>
          <w:numId w:val="4"/>
        </w:numPr>
        <w:tabs>
          <w:tab w:val="left" w:pos="10800"/>
          <w:tab w:val="left" w:pos="11520"/>
        </w:tabs>
        <w:spacing w:after="240" w:line="240" w:lineRule="auto"/>
        <w:ind w:left="2160"/>
        <w:rPr>
          <w:bCs/>
        </w:rPr>
      </w:pPr>
      <w:r w:rsidRPr="003567FF">
        <w:rPr>
          <w:bCs/>
        </w:rPr>
        <w:t>Non-Title I, Part A schools</w:t>
      </w:r>
    </w:p>
    <w:p w:rsidR="00C66555" w:rsidRPr="003567FF" w:rsidRDefault="00C66555" w:rsidP="00333A12">
      <w:pPr>
        <w:tabs>
          <w:tab w:val="left" w:pos="10800"/>
          <w:tab w:val="left" w:pos="11520"/>
        </w:tabs>
        <w:spacing w:after="240" w:line="240" w:lineRule="auto"/>
        <w:rPr>
          <w:bCs/>
        </w:rPr>
      </w:pPr>
      <w:r w:rsidRPr="003567FF">
        <w:rPr>
          <w:bCs/>
        </w:rPr>
        <w:t>Homeless students in schoolwide programs must receive Title I educational services comparable to those of their peers. In a schoolwide program, all students benefit from Title I educational services. Students who need extra learning time to meet the state standards must be provided with timely additional assistance that is tailored to their needs.</w:t>
      </w:r>
    </w:p>
    <w:p w:rsidR="00C66555" w:rsidRPr="003567FF" w:rsidRDefault="00C66555" w:rsidP="00333A12">
      <w:pPr>
        <w:tabs>
          <w:tab w:val="left" w:pos="10800"/>
          <w:tab w:val="left" w:pos="11520"/>
        </w:tabs>
        <w:spacing w:after="240" w:line="240" w:lineRule="auto"/>
        <w:rPr>
          <w:bCs/>
        </w:rPr>
      </w:pPr>
      <w:r w:rsidRPr="003567FF">
        <w:rPr>
          <w:bCs/>
        </w:rPr>
        <w:t>Homeless students in targeted assistance programs must be included in the rank order process upon enrollment. The targeted assistance process involves integrating multiple educational measures, rank ordering eligible students by academic need, and serving those most at risk of failing to meet the state standards. Homeless students have a federal right to be included in the rank order process, but they may or may not ultimately receive Title I educational services, depending on where they fall in the rank order.</w:t>
      </w:r>
    </w:p>
    <w:p w:rsidR="00C66555" w:rsidRPr="00333A12" w:rsidRDefault="00C66555" w:rsidP="00333A12">
      <w:pPr>
        <w:tabs>
          <w:tab w:val="left" w:pos="10800"/>
          <w:tab w:val="left" w:pos="11520"/>
        </w:tabs>
        <w:spacing w:after="240" w:line="240" w:lineRule="auto"/>
        <w:rPr>
          <w:bCs/>
        </w:rPr>
      </w:pPr>
      <w:r w:rsidRPr="003567FF">
        <w:rPr>
          <w:bCs/>
        </w:rPr>
        <w:t>Homeless students in non-Title I, Part A schools must be individually assessed for academic need upon enrollment. If, based on this needs assessment, the school determines that the homeless student is at risk of failing to meet the state standards, then the student shall be provided educational services comparable to those offered in the LEA’s Title I schools. Educational services should be offered on a case-by-case basis.</w:t>
      </w:r>
    </w:p>
    <w:p w:rsidR="00C66555" w:rsidRDefault="00C66555" w:rsidP="00333A12">
      <w:pPr>
        <w:tabs>
          <w:tab w:val="left" w:pos="10800"/>
          <w:tab w:val="left" w:pos="11520"/>
        </w:tabs>
        <w:spacing w:after="240" w:line="240" w:lineRule="auto"/>
      </w:pPr>
      <w:r w:rsidRPr="003567FF">
        <w:t xml:space="preserve">If you have any questions regarding this subject, please contact the </w:t>
      </w:r>
      <w:r w:rsidR="00B15C86" w:rsidRPr="003567FF">
        <w:t>CDE’s Integrated Student Support and Programs Office</w:t>
      </w:r>
      <w:r w:rsidRPr="003567FF">
        <w:t xml:space="preserve"> and speak with one of our </w:t>
      </w:r>
      <w:r w:rsidR="00B15C86" w:rsidRPr="003567FF">
        <w:t xml:space="preserve">Homeless Education </w:t>
      </w:r>
      <w:r w:rsidRPr="003567FF">
        <w:t>Program Consultants:</w:t>
      </w:r>
    </w:p>
    <w:tbl>
      <w:tblPr>
        <w:tblStyle w:val="TableGrid"/>
        <w:tblW w:w="0" w:type="auto"/>
        <w:tblInd w:w="1440" w:type="dxa"/>
        <w:tblLook w:val="04A0" w:firstRow="1" w:lastRow="0" w:firstColumn="1" w:lastColumn="0" w:noHBand="0" w:noVBand="1"/>
        <w:tblDescription w:val="Chart of California Department of Education Homeless Education Consultant's Contact Information"/>
      </w:tblPr>
      <w:tblGrid>
        <w:gridCol w:w="2605"/>
        <w:gridCol w:w="3060"/>
        <w:gridCol w:w="3780"/>
      </w:tblGrid>
      <w:tr w:rsidR="008F6FF2" w:rsidTr="00574688">
        <w:trPr>
          <w:tblHeader/>
        </w:trPr>
        <w:tc>
          <w:tcPr>
            <w:tcW w:w="2605" w:type="dxa"/>
            <w:shd w:val="clear" w:color="auto" w:fill="D0CECE" w:themeFill="background2" w:themeFillShade="E6"/>
          </w:tcPr>
          <w:p w:rsidR="00C32570" w:rsidRDefault="008F6FF2" w:rsidP="005223CD">
            <w:pPr>
              <w:tabs>
                <w:tab w:val="left" w:pos="10800"/>
                <w:tab w:val="left" w:pos="11520"/>
              </w:tabs>
              <w:spacing w:after="0" w:line="240" w:lineRule="auto"/>
              <w:ind w:left="0" w:right="210"/>
              <w:jc w:val="center"/>
            </w:pPr>
            <w:r>
              <w:t>Consultants</w:t>
            </w:r>
          </w:p>
        </w:tc>
        <w:tc>
          <w:tcPr>
            <w:tcW w:w="3060" w:type="dxa"/>
            <w:shd w:val="clear" w:color="auto" w:fill="D0CECE" w:themeFill="background2" w:themeFillShade="E6"/>
          </w:tcPr>
          <w:p w:rsidR="00C32570" w:rsidRDefault="008F6FF2" w:rsidP="005223CD">
            <w:pPr>
              <w:tabs>
                <w:tab w:val="left" w:pos="10800"/>
                <w:tab w:val="left" w:pos="11520"/>
              </w:tabs>
              <w:spacing w:after="0" w:line="240" w:lineRule="auto"/>
              <w:ind w:left="0" w:right="162"/>
              <w:jc w:val="center"/>
            </w:pPr>
            <w:r>
              <w:t>Telephone Number</w:t>
            </w:r>
          </w:p>
        </w:tc>
        <w:tc>
          <w:tcPr>
            <w:tcW w:w="3780" w:type="dxa"/>
            <w:shd w:val="clear" w:color="auto" w:fill="D0CECE" w:themeFill="background2" w:themeFillShade="E6"/>
          </w:tcPr>
          <w:p w:rsidR="00C32570" w:rsidRDefault="008F6FF2" w:rsidP="005223CD">
            <w:pPr>
              <w:tabs>
                <w:tab w:val="left" w:pos="10800"/>
                <w:tab w:val="left" w:pos="11520"/>
              </w:tabs>
              <w:spacing w:after="0" w:line="240" w:lineRule="auto"/>
              <w:ind w:left="0" w:right="78"/>
              <w:jc w:val="center"/>
            </w:pPr>
            <w:r>
              <w:t>Email Address</w:t>
            </w:r>
          </w:p>
        </w:tc>
      </w:tr>
      <w:tr w:rsidR="008F6FF2" w:rsidTr="008F6FF2">
        <w:tc>
          <w:tcPr>
            <w:tcW w:w="2605" w:type="dxa"/>
          </w:tcPr>
          <w:p w:rsidR="00C32570" w:rsidRDefault="008F6FF2" w:rsidP="008F6FF2">
            <w:pPr>
              <w:tabs>
                <w:tab w:val="left" w:pos="10800"/>
                <w:tab w:val="left" w:pos="11520"/>
              </w:tabs>
              <w:spacing w:after="0" w:line="240" w:lineRule="auto"/>
              <w:ind w:left="0" w:right="210"/>
            </w:pPr>
            <w:r>
              <w:t>Karmina Barrales</w:t>
            </w:r>
          </w:p>
        </w:tc>
        <w:tc>
          <w:tcPr>
            <w:tcW w:w="3060" w:type="dxa"/>
          </w:tcPr>
          <w:p w:rsidR="00C32570" w:rsidRDefault="008F6FF2" w:rsidP="008F6FF2">
            <w:pPr>
              <w:tabs>
                <w:tab w:val="left" w:pos="10800"/>
                <w:tab w:val="left" w:pos="11520"/>
              </w:tabs>
              <w:spacing w:after="0" w:line="240" w:lineRule="auto"/>
              <w:ind w:left="0" w:right="162"/>
            </w:pPr>
            <w:r w:rsidRPr="003567FF">
              <w:rPr>
                <w:rFonts w:eastAsia="Times New Roman"/>
                <w:color w:val="000000"/>
              </w:rPr>
              <w:t>916-327-9692</w:t>
            </w:r>
          </w:p>
        </w:tc>
        <w:tc>
          <w:tcPr>
            <w:tcW w:w="3780" w:type="dxa"/>
          </w:tcPr>
          <w:p w:rsidR="00C32570" w:rsidRDefault="00D629EF" w:rsidP="008F6FF2">
            <w:pPr>
              <w:tabs>
                <w:tab w:val="left" w:pos="10800"/>
                <w:tab w:val="left" w:pos="11520"/>
              </w:tabs>
              <w:spacing w:after="0" w:line="240" w:lineRule="auto"/>
              <w:ind w:left="0" w:right="78"/>
            </w:pPr>
            <w:hyperlink r:id="rId9" w:history="1">
              <w:r w:rsidR="008F6FF2" w:rsidRPr="003567FF">
                <w:rPr>
                  <w:rFonts w:eastAsia="Times New Roman"/>
                  <w:color w:val="0563C1"/>
                  <w:u w:val="single"/>
                </w:rPr>
                <w:t>KBarrales@cde.ca.gov</w:t>
              </w:r>
            </w:hyperlink>
          </w:p>
        </w:tc>
      </w:tr>
      <w:tr w:rsidR="008F6FF2" w:rsidTr="008F6FF2">
        <w:tc>
          <w:tcPr>
            <w:tcW w:w="2605" w:type="dxa"/>
          </w:tcPr>
          <w:p w:rsidR="00C32570" w:rsidRDefault="008F6FF2" w:rsidP="008F6FF2">
            <w:pPr>
              <w:tabs>
                <w:tab w:val="left" w:pos="10800"/>
                <w:tab w:val="left" w:pos="11520"/>
              </w:tabs>
              <w:spacing w:after="0" w:line="240" w:lineRule="auto"/>
              <w:ind w:left="0" w:right="210"/>
            </w:pPr>
            <w:r>
              <w:t>Heidi Brahms</w:t>
            </w:r>
          </w:p>
        </w:tc>
        <w:tc>
          <w:tcPr>
            <w:tcW w:w="3060" w:type="dxa"/>
          </w:tcPr>
          <w:p w:rsidR="00C32570" w:rsidRDefault="008F6FF2" w:rsidP="008F6FF2">
            <w:pPr>
              <w:tabs>
                <w:tab w:val="left" w:pos="10800"/>
                <w:tab w:val="left" w:pos="11520"/>
              </w:tabs>
              <w:spacing w:after="0" w:line="240" w:lineRule="auto"/>
              <w:ind w:left="0" w:right="162"/>
            </w:pPr>
            <w:r w:rsidRPr="003567FF">
              <w:rPr>
                <w:rFonts w:eastAsia="Times New Roman"/>
                <w:color w:val="000000"/>
              </w:rPr>
              <w:t>916-319-0253</w:t>
            </w:r>
          </w:p>
        </w:tc>
        <w:tc>
          <w:tcPr>
            <w:tcW w:w="3780" w:type="dxa"/>
          </w:tcPr>
          <w:p w:rsidR="00C32570" w:rsidRDefault="00D629EF" w:rsidP="008F6FF2">
            <w:pPr>
              <w:tabs>
                <w:tab w:val="left" w:pos="10800"/>
                <w:tab w:val="left" w:pos="11520"/>
              </w:tabs>
              <w:spacing w:after="0" w:line="240" w:lineRule="auto"/>
              <w:ind w:left="0" w:right="78"/>
            </w:pPr>
            <w:hyperlink r:id="rId10" w:history="1">
              <w:r w:rsidR="008F6FF2" w:rsidRPr="003567FF">
                <w:rPr>
                  <w:rStyle w:val="Hyperlink"/>
                  <w:rFonts w:eastAsia="Times New Roman"/>
                </w:rPr>
                <w:t>HBrahms@cde.ca.gov</w:t>
              </w:r>
            </w:hyperlink>
          </w:p>
        </w:tc>
      </w:tr>
      <w:tr w:rsidR="008F6FF2" w:rsidTr="008F6FF2">
        <w:tc>
          <w:tcPr>
            <w:tcW w:w="2605" w:type="dxa"/>
          </w:tcPr>
          <w:p w:rsidR="00C32570" w:rsidRDefault="008F6FF2" w:rsidP="008F6FF2">
            <w:pPr>
              <w:tabs>
                <w:tab w:val="left" w:pos="10800"/>
                <w:tab w:val="left" w:pos="11520"/>
              </w:tabs>
              <w:spacing w:after="0" w:line="240" w:lineRule="auto"/>
              <w:ind w:left="0" w:right="210"/>
            </w:pPr>
            <w:r>
              <w:t>Leanne Wheeler</w:t>
            </w:r>
          </w:p>
        </w:tc>
        <w:tc>
          <w:tcPr>
            <w:tcW w:w="3060" w:type="dxa"/>
          </w:tcPr>
          <w:p w:rsidR="00C32570" w:rsidRDefault="008F6FF2" w:rsidP="008F6FF2">
            <w:pPr>
              <w:tabs>
                <w:tab w:val="left" w:pos="10800"/>
                <w:tab w:val="left" w:pos="11520"/>
              </w:tabs>
              <w:spacing w:after="0" w:line="240" w:lineRule="auto"/>
              <w:ind w:left="0" w:right="162"/>
            </w:pPr>
            <w:r w:rsidRPr="003567FF">
              <w:rPr>
                <w:rFonts w:eastAsia="Times New Roman"/>
                <w:color w:val="000000"/>
              </w:rPr>
              <w:t>916-319-0383</w:t>
            </w:r>
          </w:p>
        </w:tc>
        <w:tc>
          <w:tcPr>
            <w:tcW w:w="3780" w:type="dxa"/>
          </w:tcPr>
          <w:p w:rsidR="00C32570" w:rsidRDefault="00D629EF" w:rsidP="008F6FF2">
            <w:pPr>
              <w:tabs>
                <w:tab w:val="left" w:pos="10800"/>
                <w:tab w:val="left" w:pos="11520"/>
              </w:tabs>
              <w:spacing w:after="0" w:line="240" w:lineRule="auto"/>
              <w:ind w:left="0" w:right="78"/>
            </w:pPr>
            <w:hyperlink r:id="rId11" w:history="1">
              <w:r w:rsidR="008F6FF2" w:rsidRPr="003567FF">
                <w:rPr>
                  <w:rStyle w:val="Hyperlink"/>
                  <w:rFonts w:eastAsia="Times New Roman"/>
                </w:rPr>
                <w:t>LWheeler@cde.ca.gov</w:t>
              </w:r>
            </w:hyperlink>
          </w:p>
        </w:tc>
      </w:tr>
    </w:tbl>
    <w:p w:rsidR="00C66555" w:rsidRPr="003567FF" w:rsidRDefault="00C66555" w:rsidP="005223CD">
      <w:pPr>
        <w:tabs>
          <w:tab w:val="left" w:pos="10800"/>
          <w:tab w:val="left" w:pos="11520"/>
        </w:tabs>
        <w:spacing w:before="240" w:after="600" w:line="240" w:lineRule="auto"/>
      </w:pPr>
      <w:r w:rsidRPr="003567FF">
        <w:t>Sincerely,</w:t>
      </w:r>
    </w:p>
    <w:p w:rsidR="005223CD" w:rsidRDefault="00333A12" w:rsidP="004D4360">
      <w:pPr>
        <w:tabs>
          <w:tab w:val="left" w:pos="10800"/>
          <w:tab w:val="left" w:pos="11520"/>
        </w:tabs>
        <w:spacing w:after="0" w:line="240" w:lineRule="auto"/>
      </w:pPr>
      <w:r>
        <w:t>M</w:t>
      </w:r>
      <w:r w:rsidR="00263716" w:rsidRPr="003567FF">
        <w:t>indi Parsons, Administrator</w:t>
      </w:r>
    </w:p>
    <w:p w:rsidR="00C66555" w:rsidRDefault="005223CD" w:rsidP="004D4360">
      <w:pPr>
        <w:tabs>
          <w:tab w:val="left" w:pos="10800"/>
          <w:tab w:val="left" w:pos="11520"/>
        </w:tabs>
        <w:spacing w:after="0" w:line="240" w:lineRule="auto"/>
      </w:pPr>
      <w:r>
        <w:t>I</w:t>
      </w:r>
      <w:r w:rsidR="00B15C86" w:rsidRPr="003567FF">
        <w:t xml:space="preserve">ntegrated Student Support and Programs Office </w:t>
      </w:r>
    </w:p>
    <w:p w:rsidR="004A1C44" w:rsidRDefault="004A1C44" w:rsidP="004D4360">
      <w:pPr>
        <w:tabs>
          <w:tab w:val="left" w:pos="10800"/>
          <w:tab w:val="left" w:pos="11520"/>
        </w:tabs>
        <w:spacing w:after="0" w:line="240" w:lineRule="auto"/>
      </w:pPr>
    </w:p>
    <w:p w:rsidR="004A1C44" w:rsidRPr="003567FF" w:rsidRDefault="004A1C44" w:rsidP="004D4360">
      <w:pPr>
        <w:tabs>
          <w:tab w:val="left" w:pos="10800"/>
          <w:tab w:val="left" w:pos="11520"/>
        </w:tabs>
        <w:spacing w:after="0" w:line="240" w:lineRule="auto"/>
      </w:pPr>
      <w:r>
        <w:t>MP:</w:t>
      </w:r>
      <w:r w:rsidR="00F300F8">
        <w:t>lw</w:t>
      </w:r>
    </w:p>
    <w:sectPr w:rsidR="004A1C44" w:rsidRPr="003567FF" w:rsidSect="00635FFD">
      <w:headerReference w:type="default" r:id="rId12"/>
      <w:pgSz w:w="12240" w:h="15840" w:code="1"/>
      <w:pgMar w:top="0" w:right="0" w:bottom="1440" w:left="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9EF" w:rsidRDefault="00D629EF" w:rsidP="009E16EF">
      <w:r>
        <w:separator/>
      </w:r>
    </w:p>
  </w:endnote>
  <w:endnote w:type="continuationSeparator" w:id="0">
    <w:p w:rsidR="00D629EF" w:rsidRDefault="00D629EF" w:rsidP="009E1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9EF" w:rsidRDefault="00D629EF" w:rsidP="009E16EF">
      <w:r>
        <w:separator/>
      </w:r>
    </w:p>
  </w:footnote>
  <w:footnote w:type="continuationSeparator" w:id="0">
    <w:p w:rsidR="00D629EF" w:rsidRDefault="00D629EF" w:rsidP="009E1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3A6" w:rsidRDefault="003665D6" w:rsidP="003665D6">
    <w:pPr>
      <w:pStyle w:val="Header"/>
    </w:pPr>
    <w:r>
      <w:t>February 14</w:t>
    </w:r>
    <w:r w:rsidR="00495C19">
      <w:t>, 2020</w:t>
    </w:r>
  </w:p>
  <w:p w:rsidR="00CA43A6" w:rsidRDefault="00CA43A6" w:rsidP="004C443E">
    <w:pPr>
      <w:pStyle w:val="Header"/>
      <w:spacing w:after="240"/>
    </w:pPr>
    <w:r>
      <w:t xml:space="preserve">Page </w:t>
    </w:r>
    <w:r>
      <w:fldChar w:fldCharType="begin"/>
    </w:r>
    <w:r>
      <w:instrText xml:space="preserve"> PAGE   \* MERGEFORMAT </w:instrText>
    </w:r>
    <w:r>
      <w:fldChar w:fldCharType="separate"/>
    </w:r>
    <w:r w:rsidR="0053300D">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93F92"/>
    <w:multiLevelType w:val="hybridMultilevel"/>
    <w:tmpl w:val="114AB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F74C88"/>
    <w:multiLevelType w:val="hybridMultilevel"/>
    <w:tmpl w:val="C84C929A"/>
    <w:lvl w:ilvl="0" w:tplc="8F623E28">
      <w:start w:val="1"/>
      <w:numFmt w:val="bullet"/>
      <w:pStyle w:val="ListParagraph"/>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4F606618"/>
    <w:multiLevelType w:val="hybridMultilevel"/>
    <w:tmpl w:val="E8489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09739B"/>
    <w:multiLevelType w:val="hybridMultilevel"/>
    <w:tmpl w:val="BE2AF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3AA"/>
    <w:rsid w:val="00093AB8"/>
    <w:rsid w:val="001455D6"/>
    <w:rsid w:val="0018562B"/>
    <w:rsid w:val="00186660"/>
    <w:rsid w:val="001C0EA2"/>
    <w:rsid w:val="001C7A53"/>
    <w:rsid w:val="001E2449"/>
    <w:rsid w:val="00263716"/>
    <w:rsid w:val="00275464"/>
    <w:rsid w:val="00287671"/>
    <w:rsid w:val="002A6CCA"/>
    <w:rsid w:val="002D644C"/>
    <w:rsid w:val="002E6B47"/>
    <w:rsid w:val="00303977"/>
    <w:rsid w:val="00333A12"/>
    <w:rsid w:val="003567FF"/>
    <w:rsid w:val="003665D6"/>
    <w:rsid w:val="003759F0"/>
    <w:rsid w:val="003C34D2"/>
    <w:rsid w:val="0040786A"/>
    <w:rsid w:val="00424195"/>
    <w:rsid w:val="00470625"/>
    <w:rsid w:val="004750B4"/>
    <w:rsid w:val="00495C19"/>
    <w:rsid w:val="004A1C44"/>
    <w:rsid w:val="004B64C5"/>
    <w:rsid w:val="004C443E"/>
    <w:rsid w:val="004D4360"/>
    <w:rsid w:val="004E4696"/>
    <w:rsid w:val="005223CD"/>
    <w:rsid w:val="0053300D"/>
    <w:rsid w:val="00542D60"/>
    <w:rsid w:val="0054519C"/>
    <w:rsid w:val="00574688"/>
    <w:rsid w:val="005764C5"/>
    <w:rsid w:val="005766DA"/>
    <w:rsid w:val="00591097"/>
    <w:rsid w:val="005A2F15"/>
    <w:rsid w:val="00604E31"/>
    <w:rsid w:val="00635FFD"/>
    <w:rsid w:val="00655188"/>
    <w:rsid w:val="00662239"/>
    <w:rsid w:val="006859E3"/>
    <w:rsid w:val="00695118"/>
    <w:rsid w:val="006C384A"/>
    <w:rsid w:val="006C4726"/>
    <w:rsid w:val="006D477D"/>
    <w:rsid w:val="00716471"/>
    <w:rsid w:val="0072547E"/>
    <w:rsid w:val="007342E9"/>
    <w:rsid w:val="00737D7D"/>
    <w:rsid w:val="00746B5A"/>
    <w:rsid w:val="007B71D4"/>
    <w:rsid w:val="007C3A73"/>
    <w:rsid w:val="00841915"/>
    <w:rsid w:val="0087682F"/>
    <w:rsid w:val="008E7430"/>
    <w:rsid w:val="008F6FF2"/>
    <w:rsid w:val="00915536"/>
    <w:rsid w:val="009E16EF"/>
    <w:rsid w:val="009F2114"/>
    <w:rsid w:val="00A253AA"/>
    <w:rsid w:val="00A84392"/>
    <w:rsid w:val="00A90076"/>
    <w:rsid w:val="00A946A3"/>
    <w:rsid w:val="00AA5A33"/>
    <w:rsid w:val="00AF38B9"/>
    <w:rsid w:val="00B1021A"/>
    <w:rsid w:val="00B15C86"/>
    <w:rsid w:val="00BB0660"/>
    <w:rsid w:val="00BE5C39"/>
    <w:rsid w:val="00C178BE"/>
    <w:rsid w:val="00C3084D"/>
    <w:rsid w:val="00C32570"/>
    <w:rsid w:val="00C455A8"/>
    <w:rsid w:val="00C57FBF"/>
    <w:rsid w:val="00C66555"/>
    <w:rsid w:val="00C72858"/>
    <w:rsid w:val="00C9416F"/>
    <w:rsid w:val="00CA1ABC"/>
    <w:rsid w:val="00CA43A6"/>
    <w:rsid w:val="00CE1713"/>
    <w:rsid w:val="00D202C5"/>
    <w:rsid w:val="00D220EF"/>
    <w:rsid w:val="00D629EF"/>
    <w:rsid w:val="00D77885"/>
    <w:rsid w:val="00DA7EF4"/>
    <w:rsid w:val="00DC198C"/>
    <w:rsid w:val="00DC51C3"/>
    <w:rsid w:val="00DC5B8C"/>
    <w:rsid w:val="00E53EDB"/>
    <w:rsid w:val="00E63F54"/>
    <w:rsid w:val="00EA3134"/>
    <w:rsid w:val="00EE58BA"/>
    <w:rsid w:val="00F1784F"/>
    <w:rsid w:val="00F2694D"/>
    <w:rsid w:val="00F26B32"/>
    <w:rsid w:val="00F300F8"/>
    <w:rsid w:val="00F61A65"/>
    <w:rsid w:val="00F9271F"/>
    <w:rsid w:val="00F9411C"/>
    <w:rsid w:val="00FF7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A627D7EE-237A-4EEE-839E-0543245A3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6EF"/>
    <w:pPr>
      <w:spacing w:after="160" w:line="259" w:lineRule="auto"/>
      <w:ind w:left="1440" w:right="1440"/>
    </w:pPr>
    <w:rPr>
      <w:rFonts w:ascii="Arial" w:hAnsi="Arial" w:cs="Arial"/>
      <w:sz w:val="24"/>
      <w:szCs w:val="24"/>
    </w:rPr>
  </w:style>
  <w:style w:type="paragraph" w:styleId="Heading1">
    <w:name w:val="heading 1"/>
    <w:basedOn w:val="Normal"/>
    <w:next w:val="Normal"/>
    <w:link w:val="Heading1Char"/>
    <w:uiPriority w:val="9"/>
    <w:qFormat/>
    <w:rsid w:val="0040786A"/>
    <w:pPr>
      <w:keepNext/>
      <w:keepLines/>
      <w:spacing w:before="240" w:after="0"/>
      <w:jc w:val="center"/>
      <w:outlineLvl w:val="0"/>
    </w:pPr>
    <w:rPr>
      <w:rFonts w:eastAsiaTheme="majorEastAsia"/>
      <w:b/>
      <w:sz w:val="32"/>
      <w:szCs w:val="36"/>
    </w:rPr>
  </w:style>
  <w:style w:type="paragraph" w:styleId="Heading2">
    <w:name w:val="heading 2"/>
    <w:basedOn w:val="Normal"/>
    <w:next w:val="Normal"/>
    <w:link w:val="Heading2Char"/>
    <w:uiPriority w:val="9"/>
    <w:unhideWhenUsed/>
    <w:qFormat/>
    <w:rsid w:val="00C57FBF"/>
    <w:pPr>
      <w:keepNext/>
      <w:keepLines/>
      <w:spacing w:before="40" w:after="0"/>
      <w:outlineLvl w:val="1"/>
    </w:pPr>
    <w:rPr>
      <w:rFonts w:eastAsiaTheme="majorEastAsia"/>
      <w:b/>
      <w:sz w:val="28"/>
      <w:szCs w:val="32"/>
    </w:rPr>
  </w:style>
  <w:style w:type="paragraph" w:styleId="Heading3">
    <w:name w:val="heading 3"/>
    <w:basedOn w:val="Normal"/>
    <w:next w:val="Normal"/>
    <w:link w:val="Heading3Char"/>
    <w:uiPriority w:val="9"/>
    <w:unhideWhenUsed/>
    <w:qFormat/>
    <w:rsid w:val="00C57FBF"/>
    <w:pPr>
      <w:keepNext/>
      <w:keepLines/>
      <w:spacing w:before="40" w:after="0"/>
      <w:outlineLvl w:val="2"/>
    </w:pPr>
    <w:rPr>
      <w:rFonts w:eastAsiaTheme="majorEastAsia"/>
      <w:b/>
      <w:szCs w:val="32"/>
    </w:rPr>
  </w:style>
  <w:style w:type="paragraph" w:styleId="Heading4">
    <w:name w:val="heading 4"/>
    <w:basedOn w:val="Normal"/>
    <w:next w:val="Normal"/>
    <w:link w:val="Heading4Char"/>
    <w:uiPriority w:val="9"/>
    <w:unhideWhenUsed/>
    <w:rsid w:val="00B1021A"/>
    <w:pPr>
      <w:keepNext/>
      <w:keepLines/>
      <w:spacing w:before="40" w:after="0"/>
      <w:outlineLvl w:val="3"/>
    </w:pPr>
    <w:rPr>
      <w:rFonts w:eastAsiaTheme="majorEastAsia"/>
      <w:b/>
      <w:iCs/>
    </w:rPr>
  </w:style>
  <w:style w:type="paragraph" w:styleId="Heading5">
    <w:name w:val="heading 5"/>
    <w:basedOn w:val="Normal"/>
    <w:next w:val="Normal"/>
    <w:link w:val="Heading5Char"/>
    <w:uiPriority w:val="9"/>
    <w:unhideWhenUsed/>
    <w:rsid w:val="00B1021A"/>
    <w:pPr>
      <w:keepNext/>
      <w:keepLines/>
      <w:spacing w:before="40" w:after="0"/>
      <w:outlineLvl w:val="4"/>
    </w:pPr>
    <w:rPr>
      <w:rFonts w:eastAsiaTheme="majorEastAsia"/>
      <w:b/>
    </w:rPr>
  </w:style>
  <w:style w:type="paragraph" w:styleId="Heading6">
    <w:name w:val="heading 6"/>
    <w:basedOn w:val="Normal"/>
    <w:next w:val="Normal"/>
    <w:link w:val="Heading6Char"/>
    <w:uiPriority w:val="9"/>
    <w:unhideWhenUsed/>
    <w:rsid w:val="00737D7D"/>
    <w:pPr>
      <w:keepNext/>
      <w:keepLines/>
      <w:spacing w:before="40" w:after="0"/>
      <w:outlineLvl w:val="5"/>
    </w:pPr>
    <w:rPr>
      <w:rFonts w:eastAsiaTheme="majorEastAsia"/>
      <w:b/>
    </w:rPr>
  </w:style>
  <w:style w:type="paragraph" w:styleId="Heading7">
    <w:name w:val="heading 7"/>
    <w:basedOn w:val="Normal"/>
    <w:next w:val="Normal"/>
    <w:link w:val="Heading7Char"/>
    <w:uiPriority w:val="9"/>
    <w:unhideWhenUsed/>
    <w:rsid w:val="00737D7D"/>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007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90076"/>
    <w:rPr>
      <w:rFonts w:ascii="Segoe UI" w:hAnsi="Segoe UI" w:cs="Segoe UI"/>
      <w:sz w:val="18"/>
      <w:szCs w:val="18"/>
    </w:rPr>
  </w:style>
  <w:style w:type="character" w:customStyle="1" w:styleId="Heading1Char">
    <w:name w:val="Heading 1 Char"/>
    <w:basedOn w:val="DefaultParagraphFont"/>
    <w:link w:val="Heading1"/>
    <w:uiPriority w:val="9"/>
    <w:rsid w:val="0040786A"/>
    <w:rPr>
      <w:rFonts w:ascii="Arial" w:eastAsiaTheme="majorEastAsia" w:hAnsi="Arial" w:cs="Arial"/>
      <w:b/>
      <w:sz w:val="32"/>
      <w:szCs w:val="36"/>
    </w:rPr>
  </w:style>
  <w:style w:type="character" w:customStyle="1" w:styleId="Heading2Char">
    <w:name w:val="Heading 2 Char"/>
    <w:basedOn w:val="DefaultParagraphFont"/>
    <w:link w:val="Heading2"/>
    <w:uiPriority w:val="9"/>
    <w:rsid w:val="00C57FBF"/>
    <w:rPr>
      <w:rFonts w:ascii="Arial" w:eastAsiaTheme="majorEastAsia" w:hAnsi="Arial" w:cs="Arial"/>
      <w:b/>
      <w:sz w:val="28"/>
      <w:szCs w:val="32"/>
    </w:rPr>
  </w:style>
  <w:style w:type="character" w:customStyle="1" w:styleId="Heading3Char">
    <w:name w:val="Heading 3 Char"/>
    <w:basedOn w:val="DefaultParagraphFont"/>
    <w:link w:val="Heading3"/>
    <w:uiPriority w:val="9"/>
    <w:rsid w:val="00C57FBF"/>
    <w:rPr>
      <w:rFonts w:ascii="Arial" w:eastAsiaTheme="majorEastAsia" w:hAnsi="Arial" w:cs="Arial"/>
      <w:b/>
      <w:sz w:val="24"/>
      <w:szCs w:val="32"/>
    </w:rPr>
  </w:style>
  <w:style w:type="character" w:customStyle="1" w:styleId="Heading4Char">
    <w:name w:val="Heading 4 Char"/>
    <w:basedOn w:val="DefaultParagraphFont"/>
    <w:link w:val="Heading4"/>
    <w:uiPriority w:val="9"/>
    <w:rsid w:val="00B1021A"/>
    <w:rPr>
      <w:rFonts w:ascii="Arial" w:eastAsiaTheme="majorEastAsia" w:hAnsi="Arial" w:cs="Arial"/>
      <w:b/>
      <w:iCs/>
      <w:sz w:val="24"/>
      <w:szCs w:val="24"/>
    </w:rPr>
  </w:style>
  <w:style w:type="character" w:customStyle="1" w:styleId="Heading5Char">
    <w:name w:val="Heading 5 Char"/>
    <w:basedOn w:val="DefaultParagraphFont"/>
    <w:link w:val="Heading5"/>
    <w:uiPriority w:val="9"/>
    <w:rsid w:val="00B1021A"/>
    <w:rPr>
      <w:rFonts w:ascii="Arial" w:eastAsiaTheme="majorEastAsia" w:hAnsi="Arial" w:cs="Arial"/>
      <w:b/>
      <w:sz w:val="24"/>
      <w:szCs w:val="24"/>
    </w:rPr>
  </w:style>
  <w:style w:type="character" w:customStyle="1" w:styleId="Heading6Char">
    <w:name w:val="Heading 6 Char"/>
    <w:basedOn w:val="DefaultParagraphFont"/>
    <w:link w:val="Heading6"/>
    <w:uiPriority w:val="9"/>
    <w:rsid w:val="00737D7D"/>
    <w:rPr>
      <w:rFonts w:ascii="Arial" w:eastAsiaTheme="majorEastAsia" w:hAnsi="Arial" w:cs="Arial"/>
      <w:b/>
      <w:sz w:val="24"/>
      <w:szCs w:val="24"/>
    </w:rPr>
  </w:style>
  <w:style w:type="character" w:customStyle="1" w:styleId="Heading7Char">
    <w:name w:val="Heading 7 Char"/>
    <w:basedOn w:val="DefaultParagraphFont"/>
    <w:link w:val="Heading7"/>
    <w:uiPriority w:val="9"/>
    <w:rsid w:val="00737D7D"/>
    <w:rPr>
      <w:rFonts w:asciiTheme="majorHAnsi" w:eastAsiaTheme="majorEastAsia" w:hAnsiTheme="majorHAnsi" w:cstheme="majorBidi"/>
      <w:i/>
      <w:iCs/>
      <w:color w:val="1F4D78" w:themeColor="accent1" w:themeShade="7F"/>
      <w:sz w:val="22"/>
      <w:szCs w:val="22"/>
    </w:rPr>
  </w:style>
  <w:style w:type="paragraph" w:styleId="Title">
    <w:name w:val="Title"/>
    <w:basedOn w:val="Normal"/>
    <w:next w:val="Normal"/>
    <w:link w:val="TitleChar"/>
    <w:uiPriority w:val="10"/>
    <w:rsid w:val="009E16EF"/>
    <w:pPr>
      <w:spacing w:after="0" w:line="240" w:lineRule="auto"/>
      <w:ind w:left="360" w:right="360"/>
      <w:contextualSpacing/>
    </w:pPr>
    <w:rPr>
      <w:rFonts w:eastAsiaTheme="majorEastAsia"/>
      <w:spacing w:val="-10"/>
      <w:kern w:val="28"/>
    </w:rPr>
  </w:style>
  <w:style w:type="character" w:customStyle="1" w:styleId="TitleChar">
    <w:name w:val="Title Char"/>
    <w:basedOn w:val="DefaultParagraphFont"/>
    <w:link w:val="Title"/>
    <w:uiPriority w:val="10"/>
    <w:rsid w:val="009E16EF"/>
    <w:rPr>
      <w:rFonts w:ascii="Arial" w:eastAsiaTheme="majorEastAsia" w:hAnsi="Arial" w:cs="Arial"/>
      <w:spacing w:val="-10"/>
      <w:kern w:val="28"/>
      <w:sz w:val="24"/>
      <w:szCs w:val="24"/>
    </w:rPr>
  </w:style>
  <w:style w:type="paragraph" w:styleId="Header">
    <w:name w:val="header"/>
    <w:basedOn w:val="Normal"/>
    <w:link w:val="HeaderChar"/>
    <w:uiPriority w:val="99"/>
    <w:unhideWhenUsed/>
    <w:rsid w:val="00635F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5FFD"/>
    <w:rPr>
      <w:rFonts w:ascii="Arial" w:hAnsi="Arial" w:cs="Arial"/>
      <w:sz w:val="24"/>
      <w:szCs w:val="24"/>
    </w:rPr>
  </w:style>
  <w:style w:type="paragraph" w:styleId="Footer">
    <w:name w:val="footer"/>
    <w:basedOn w:val="Normal"/>
    <w:link w:val="FooterChar"/>
    <w:uiPriority w:val="99"/>
    <w:unhideWhenUsed/>
    <w:rsid w:val="00635F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5FFD"/>
    <w:rPr>
      <w:rFonts w:ascii="Arial" w:hAnsi="Arial" w:cs="Arial"/>
      <w:sz w:val="24"/>
      <w:szCs w:val="24"/>
    </w:rPr>
  </w:style>
  <w:style w:type="character" w:styleId="Hyperlink">
    <w:name w:val="Hyperlink"/>
    <w:basedOn w:val="DefaultParagraphFont"/>
    <w:uiPriority w:val="99"/>
    <w:unhideWhenUsed/>
    <w:rsid w:val="00470625"/>
    <w:rPr>
      <w:color w:val="0000FF"/>
      <w:u w:val="single"/>
    </w:rPr>
  </w:style>
  <w:style w:type="character" w:styleId="Emphasis">
    <w:name w:val="Emphasis"/>
    <w:basedOn w:val="Strong"/>
    <w:uiPriority w:val="20"/>
    <w:rsid w:val="00B1021A"/>
  </w:style>
  <w:style w:type="character" w:styleId="Strong">
    <w:name w:val="Strong"/>
    <w:basedOn w:val="DefaultParagraphFont"/>
    <w:uiPriority w:val="22"/>
    <w:rsid w:val="00B1021A"/>
  </w:style>
  <w:style w:type="paragraph" w:styleId="IntenseQuote">
    <w:name w:val="Intense Quote"/>
    <w:basedOn w:val="Normal"/>
    <w:next w:val="Normal"/>
    <w:link w:val="IntenseQuoteChar"/>
    <w:uiPriority w:val="60"/>
    <w:rsid w:val="00B1021A"/>
    <w:pPr>
      <w:spacing w:before="360" w:after="360"/>
    </w:pPr>
    <w:rPr>
      <w:b/>
      <w:iCs/>
    </w:rPr>
  </w:style>
  <w:style w:type="character" w:customStyle="1" w:styleId="IntenseQuoteChar">
    <w:name w:val="Intense Quote Char"/>
    <w:basedOn w:val="DefaultParagraphFont"/>
    <w:link w:val="IntenseQuote"/>
    <w:uiPriority w:val="60"/>
    <w:rsid w:val="00B1021A"/>
    <w:rPr>
      <w:rFonts w:ascii="Arial" w:hAnsi="Arial" w:cs="Arial"/>
      <w:b/>
      <w:iCs/>
      <w:sz w:val="24"/>
      <w:szCs w:val="24"/>
    </w:rPr>
  </w:style>
  <w:style w:type="character" w:styleId="SubtleEmphasis">
    <w:name w:val="Subtle Emphasis"/>
    <w:uiPriority w:val="65"/>
    <w:rsid w:val="00B1021A"/>
  </w:style>
  <w:style w:type="character" w:styleId="IntenseEmphasis">
    <w:name w:val="Intense Emphasis"/>
    <w:basedOn w:val="SubtleEmphasis"/>
    <w:uiPriority w:val="66"/>
    <w:rsid w:val="00B1021A"/>
  </w:style>
  <w:style w:type="character" w:styleId="SubtleReference">
    <w:name w:val="Subtle Reference"/>
    <w:basedOn w:val="IntenseEmphasis"/>
    <w:uiPriority w:val="67"/>
    <w:rsid w:val="00B1021A"/>
  </w:style>
  <w:style w:type="character" w:styleId="IntenseReference">
    <w:name w:val="Intense Reference"/>
    <w:basedOn w:val="SubtleReference"/>
    <w:uiPriority w:val="68"/>
    <w:rsid w:val="00B1021A"/>
  </w:style>
  <w:style w:type="character" w:styleId="BookTitle">
    <w:name w:val="Book Title"/>
    <w:basedOn w:val="IntenseReference"/>
    <w:uiPriority w:val="69"/>
    <w:rsid w:val="00B1021A"/>
  </w:style>
  <w:style w:type="paragraph" w:styleId="Quote">
    <w:name w:val="Quote"/>
    <w:basedOn w:val="Normal"/>
    <w:next w:val="Normal"/>
    <w:link w:val="QuoteChar"/>
    <w:uiPriority w:val="73"/>
    <w:qFormat/>
    <w:rsid w:val="00B1021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73"/>
    <w:rsid w:val="00B1021A"/>
    <w:rPr>
      <w:rFonts w:ascii="Arial" w:hAnsi="Arial" w:cs="Arial"/>
      <w:i/>
      <w:iCs/>
      <w:color w:val="404040" w:themeColor="text1" w:themeTint="BF"/>
      <w:sz w:val="24"/>
      <w:szCs w:val="24"/>
    </w:rPr>
  </w:style>
  <w:style w:type="paragraph" w:styleId="NoSpacing">
    <w:name w:val="No Spacing"/>
    <w:uiPriority w:val="99"/>
    <w:rsid w:val="00B1021A"/>
    <w:pPr>
      <w:ind w:left="1440" w:right="1440"/>
    </w:pPr>
    <w:rPr>
      <w:rFonts w:ascii="Arial" w:hAnsi="Arial" w:cs="Arial"/>
      <w:sz w:val="24"/>
      <w:szCs w:val="24"/>
    </w:rPr>
  </w:style>
  <w:style w:type="paragraph" w:styleId="ListParagraph">
    <w:name w:val="List Paragraph"/>
    <w:basedOn w:val="Normal"/>
    <w:uiPriority w:val="72"/>
    <w:qFormat/>
    <w:rsid w:val="00B1021A"/>
    <w:pPr>
      <w:numPr>
        <w:numId w:val="1"/>
      </w:numPr>
      <w:spacing w:after="240" w:line="240" w:lineRule="auto"/>
    </w:pPr>
  </w:style>
  <w:style w:type="character" w:styleId="FollowedHyperlink">
    <w:name w:val="FollowedHyperlink"/>
    <w:basedOn w:val="DefaultParagraphFont"/>
    <w:uiPriority w:val="99"/>
    <w:semiHidden/>
    <w:unhideWhenUsed/>
    <w:rsid w:val="004D4360"/>
    <w:rPr>
      <w:color w:val="954F72" w:themeColor="followedHyperlink"/>
      <w:u w:val="single"/>
    </w:rPr>
  </w:style>
  <w:style w:type="table" w:styleId="TableGrid">
    <w:name w:val="Table Grid"/>
    <w:basedOn w:val="TableNormal"/>
    <w:uiPriority w:val="39"/>
    <w:rsid w:val="00C32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Wheeler@cde.ca.gov" TargetMode="External"/><Relationship Id="rId5" Type="http://schemas.openxmlformats.org/officeDocument/2006/relationships/webSettings" Target="webSettings.xml"/><Relationship Id="rId10" Type="http://schemas.openxmlformats.org/officeDocument/2006/relationships/hyperlink" Target="mailto:HBrahms@cde.ca.gov" TargetMode="External"/><Relationship Id="rId4" Type="http://schemas.openxmlformats.org/officeDocument/2006/relationships/settings" Target="settings.xml"/><Relationship Id="rId9" Type="http://schemas.openxmlformats.org/officeDocument/2006/relationships/hyperlink" Target="mailto:KBarrales@cde.c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64A07-A504-4198-92CB-3E3529042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CA Department of Education</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Carriker</dc:creator>
  <cp:keywords/>
  <dc:description/>
  <cp:lastModifiedBy>Kottke_Jennifer</cp:lastModifiedBy>
  <cp:revision>2</cp:revision>
  <cp:lastPrinted>2017-12-06T17:34:00Z</cp:lastPrinted>
  <dcterms:created xsi:type="dcterms:W3CDTF">2020-02-19T23:52:00Z</dcterms:created>
  <dcterms:modified xsi:type="dcterms:W3CDTF">2020-02-19T23:52:00Z</dcterms:modified>
</cp:coreProperties>
</file>